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a1d6b1af0fa9457a"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29822</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GRAD SINJ</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22</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VI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7.415.727,78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8.742.899,63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117,9</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7.782.521,58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8.417.425,42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108,2</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325.474,21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149.247,54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29.187,58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19,6</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271.631,20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119.096,33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43,8</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122.383,66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89.908,75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73,5</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1.974,60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65,8</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PRIMITAKA OD FINANCIJSKE IMOVINE I ZADUŽIVANJA (šifre 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1.974,60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65,8</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I PRIMITAKA (šifre X678-Y345)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237.540,06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bl>
    <w:p>
      <w:pPr>
        <w:spacing w:before="0" w:after="0"/>
      </w:pPr>
    </w:p>
    <w:p>
      <w:r>
        <w:t xml:space="preserve">Prihodi i primici proračuna Grada Sinja za razdoblje siječanj – lipanj 2026. godine ostvareni su u iznosu od 8.774.061,81 eura, što je u odnosu na isto razdoblje 2025. godine ostvarenje veće u iznosu od 1.206.086,49 eura odnosno 15,9%. Rashodi i izdaci izvršeni su u iznosu od 8.536.521,75 eura što je za 482.368,97 eura odnosno za 6,0% veće od izvršenja rashoda za 2025. godinu. </w:t>
      </w:r>
    </w:p>
    <w:p>
      <w:r>
        <w:t xml:space="preserve">Razlika prihoda i primitaka, te rashoda i izdataka iznosi 237.540,06 eura, dakle u tekućem razdoblju ostvaren je višak prihoda i primitaka. Preneseni manjak prihoda i primitaka iz prethodne godine iznosi 510.615,95 eura, tako da Grad Sinj u prvom polugodištu ostvaruje manjak prihoda i primitaka koji se treba pokriti u slijedećem razdoblju u iznosu 273.075,89 eura. </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7.415.727,78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8.742.899,63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117,9</w:t>
            </w:r>
          </w:p>
        </w:tc>
      </w:tr>
    </w:tbl>
    <w:p>
      <w:pPr>
        <w:spacing w:before="0" w:after="0"/>
      </w:pPr>
    </w:p>
    <w:p>
      <w:pPr>
        <w:jc w:val="both"/>
      </w:pPr>
      <w:r>
        <w:t xml:space="preserve">Ukupni prihodi poslovanja iznose 8.742899,63 eura  i u odnosu na isto promatrano razdoblje 2025. god. veći su za 17,9%.</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poreza (šifre 611+612+613+614+615+616)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4.087.347,36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5.092.869,21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124,6</w:t>
            </w:r>
          </w:p>
        </w:tc>
      </w:tr>
    </w:tbl>
    <w:p>
      <w:pPr>
        <w:spacing w:before="0" w:after="0"/>
      </w:pPr>
    </w:p>
    <w:p>
      <w:pPr>
        <w:jc w:val="both"/>
      </w:pPr>
      <w:r>
        <w:t xml:space="preserve">Prihodi od poreza iznose 5.092.869,21 eura što je povećanje u odnosu na isto razdoblje prethodne godine za 24,6%. </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Porez na dohodak (šifre 6111 do 6116 - 6117 - 6119)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3.813.804,41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4.767.358,25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125,0</w:t>
            </w:r>
          </w:p>
        </w:tc>
      </w:tr>
    </w:tbl>
    <w:p>
      <w:pPr>
        <w:spacing w:before="0" w:after="0"/>
      </w:pPr>
    </w:p>
    <w:p>
      <w:pPr>
        <w:jc w:val="both"/>
      </w:pPr>
      <w:r>
        <w:t xml:space="preserve">Prihodi od poreza na dohodak ostvareni su u iznosu od 4.767.358,25 eura što je za 25,0% više u odnosu na isto razdoblje 2025. godine. Čini vrijednosno najznačajniju stavku unutar prihoda od poreza s udjelom od 93,61%. Posljedica je to povećanja plaća u javnom i privatnom sektoru i povećanja broja zaposlenih. Dodatni udio poreza na dohodak za decentraliziranu funkciju vatrogastva ostvaren je u iznosu 63.563,19 eura.</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Porezi na imovinu (šifre 6131 do 6135)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269.844,61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325.174,08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120,5</w:t>
            </w:r>
          </w:p>
        </w:tc>
      </w:tr>
    </w:tbl>
    <w:p>
      <w:pPr>
        <w:spacing w:before="0" w:after="0"/>
      </w:pPr>
    </w:p>
    <w:p>
      <w:pPr>
        <w:jc w:val="both"/>
      </w:pPr>
      <w:r>
        <w:t xml:space="preserve">Porezi na imovinu su ostvareni u iznosu od 325.174,08 eura što je za 20,5% veće u odnosu na 2025. god. Realizacija prihoda s ove osnove prvenstveno je rezultat kretanja poreza na promet nekretnina koji određuje dinamika na tržištu nekretnina. Također je zabilježen rast prihoda s osnove poreza na nekretnine koji se videntiraju unutar podskupine 613, odjeljak 6131 - stalni porezi na nepokretnu imovinu (zemlje, kuće, zgrade i ostalo) koji se plaća 0,60 eura po kvadratnom metru. Prihod od porezna na nekretnine je zajednički prihod države i lokalne zajednice u omjeru općine i gradovi 80%, a 20% Državnom proračunu.</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Porezi na robu i usluge (šifre 6141 do 61476148)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3.698,34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336,88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w:t>
            </w:r>
          </w:p>
        </w:tc>
      </w:tr>
    </w:tbl>
    <w:p>
      <w:pPr>
        <w:spacing w:before="0" w:after="0"/>
      </w:pPr>
    </w:p>
    <w:p>
      <w:pPr>
        <w:jc w:val="both"/>
      </w:pPr>
      <w:r>
        <w:t xml:space="preserve">Porezi na robu i usluge iznose 336,88 eura što je smanjenje u odnosu na prvo polugodište 2025. godine za 90,9%. Ovi porezi obuhvaćaju porez na potrošnji i porez na tvrtku. Radi se o naplati dugovanja iz ranijeg razdoblja, koje poslove obavlja Porezna uprava (naknada 5%). Oba prihoda su ukinuta Odlukom Gradskog vijeća Grada Sinja i izmjenom zakonske regulative.</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iz inozemstva i od subjekata unutar općeg proračuna (šifre 631+632+633+634+635+636+637+638+639)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2.716.050,06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3.150.167,50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116,0</w:t>
            </w:r>
          </w:p>
        </w:tc>
      </w:tr>
    </w:tbl>
    <w:p>
      <w:pPr>
        <w:spacing w:before="0" w:after="0"/>
      </w:pPr>
    </w:p>
    <w:p>
      <w:pPr>
        <w:jc w:val="both"/>
      </w:pPr>
      <w:r>
        <w:t xml:space="preserve">Pomoći su ostvarene u iznosu od 3.150.167,50 eura što je povećanje u odnosu na isto razdoblje 2025. godine za 16,0%. Čine ih: </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proračunu i izvanproračunskim korisnicima iz drugih proračuna (šifre 6331+6332)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2.325.198,80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902.542,00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38,8</w:t>
            </w:r>
          </w:p>
        </w:tc>
      </w:tr>
    </w:tbl>
    <w:p>
      <w:pPr>
        <w:spacing w:before="0" w:after="0"/>
      </w:pPr>
    </w:p>
    <w:p>
      <w:pPr>
        <w:jc w:val="both"/>
      </w:pPr>
      <w:r>
        <w:t xml:space="preserve">Pomoći proračunu i izvanproračunskim korisnicima iz drugih proračuna ostvarene su u iznosu 902.542,00 eura i čine drugu po vrijednosti stavku unutar pomoći, a u odnosu na prethodnu godinu bilježe odstupanje za 61,2%. Do većih odstupanja u odnosu na ostvarenje prethodne godine došlo je zbog drugačijeg načina knjigovodstvenog evidentiranja sredstava sa osnove sredstava fiskalnog izravnanja. Prošle godine sredstva ostvarena sa ove osnove evidentirana su kao tekuće pomoći iz Državnog proračuna, dok se ove godine evidentiraju na kontu - Pomoći fiskalnog izravnanja sukladno novom Pravilniku o računovodstvu i računskom planu. </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proračunu i izvanproračunskim korisnicima iz drugih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2.240.881,80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478.542,00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21,4</w:t>
            </w:r>
          </w:p>
        </w:tc>
      </w:tr>
    </w:tbl>
    <w:p>
      <w:pPr>
        <w:spacing w:before="0" w:after="0"/>
      </w:pPr>
    </w:p>
    <w:p>
      <w:pPr>
        <w:jc w:val="both"/>
      </w:pPr>
      <w:r>
        <w:t xml:space="preserve">U 2026. godini kao tekuće pomoći proračunu od drugih proračuna doznačeno je 478.542,00 eura po odluci Vlade RH o dodjeli sredstava za fiskalnu održivost dječjih vrtića za pedagošku godinu 2025./2026. godinu.</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proračunu i izvanproračunskim korisnicima iz drugih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84.317,00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424.000,00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502,9</w:t>
            </w:r>
          </w:p>
        </w:tc>
      </w:tr>
    </w:tbl>
    <w:p>
      <w:pPr>
        <w:spacing w:before="0" w:after="0"/>
      </w:pPr>
    </w:p>
    <w:p>
      <w:pPr>
        <w:jc w:val="both"/>
      </w:pPr>
      <w:r>
        <w:t xml:space="preserve">Kapitalne pomoći iz proračuna ostvarene su u iznosu 424.000,00 eura te su veće u odnosu na 2025. godinu za 402,9%. Odnose se na pomoći iz Državnog proračuna za izgradnju dječjeg vrtića u Glavicama u iznosu 320.000,00 eura, zatim na izgradnju prometne mreže u Gospodarskoj zoni Kukuzovac u iznosu 100.000,00 eura, te kapitalne pomoći iz županijskog proračuna za program predškolskog odgoja u iznosu 4.000,00 eura.</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izravnanja za decentralizirane funkcije i fiskalnog izravnanja (šifre 6351 do 6353)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141.402,02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1.881.681,68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1330,7</w:t>
            </w:r>
          </w:p>
        </w:tc>
      </w:tr>
    </w:tbl>
    <w:p>
      <w:pPr>
        <w:spacing w:before="0" w:after="0"/>
      </w:pPr>
    </w:p>
    <w:p>
      <w:pPr>
        <w:jc w:val="both"/>
      </w:pPr>
      <w:r>
        <w:t xml:space="preserve">Pomoći izravnanja za decentralizirane funkcije i fiskalnog izravnanja u prvoj polovici 2026. godine ostvarene su u iznosu 1.881.681,68 eura.</w:t>
      </w:r>
    </w:p>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6351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izravnanja za decentralizirane funkcije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141.402,02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129.500,00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91,6</w:t>
            </w:r>
          </w:p>
        </w:tc>
      </w:tr>
    </w:tbl>
    <w:p>
      <w:pPr>
        <w:spacing w:before="0" w:after="0"/>
      </w:pPr>
    </w:p>
    <w:p>
      <w:pPr>
        <w:jc w:val="both"/>
      </w:pPr>
      <w:r>
        <w:t xml:space="preserve">Pomoći izravnanja za decentralizirane funkcije ostvarene su u iznosu od 129.500,00 eura i za 8,4% su manje u odnosu na prethodnu godinu. Odnose se na sredstva pomoći izravnanja za decentralizirane funkcije –vatrogastva iz Državnog proračuna RH.</w:t>
      </w:r>
    </w:p>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6353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fiskalnog izravnanja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6353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1.752.181,68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Pr>
      <w:r>
        <w:t xml:space="preserve">Iz državnog proračuna doznačena su sredstva u iznosu 1.752.181,68 eura na ime doznake sredstava s osnove fiskalnog izravnanja. S obzirom na kapacitet ostvarenih poreznih prihoda koji su manji od referentne vrijednosti kapaciteta poreznih prihoda Grad Sinj ostvaruje pravo na sredstva  fiskalnog izravnanja.</w:t>
      </w:r>
    </w:p>
    <w:p/>
    <w:p>
      <w:pPr>
        <w:jc w:val="center"/>
        <w:pStyle w:val="Normal"/>
        <w:spacing w:line="240" w:lineRule="auto"/>
        <w:keepNext/>
      </w:pPr>
      <w:r>
        <w:rPr>
          <w:sz w:val="28"/>
          <w:rFonts w:ascii="Times New Roman" w:hAnsi="Times New Roman"/>
        </w:rPr>
        <w:t xml:space="preserve">Bilješka 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temeljem prijenosa EU sredstava (šifre 6381+6382)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249.449,24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365.943,82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146,7</w:t>
            </w:r>
          </w:p>
        </w:tc>
      </w:tr>
    </w:tbl>
    <w:p>
      <w:pPr>
        <w:spacing w:before="0" w:after="0"/>
      </w:pPr>
    </w:p>
    <w:p>
      <w:pPr>
        <w:jc w:val="both"/>
      </w:pPr>
      <w:r>
        <w:t xml:space="preserve">Pomoći temeljem prijenosa EU sredstava ostvarene su u iznosu 365.943,82 eura što je za 46,7% veće u odnosu na isto promatrano razdoblje 2025. godine.</w:t>
      </w:r>
    </w:p>
    <w:p/>
    <w:p>
      <w:pPr>
        <w:jc w:val="center"/>
        <w:pStyle w:val="Normal"/>
        <w:spacing w:line="240" w:lineRule="auto"/>
        <w:keepNext/>
      </w:pPr>
      <w:r>
        <w:rPr>
          <w:sz w:val="28"/>
          <w:rFonts w:ascii="Times New Roman" w:hAnsi="Times New Roman"/>
        </w:rPr>
        <w:t xml:space="preserve">Bilješka 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temeljem prijenosa EU sredstava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249.449,24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332.845,80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133,4</w:t>
            </w:r>
          </w:p>
        </w:tc>
      </w:tr>
    </w:tbl>
    <w:p>
      <w:pPr>
        <w:spacing w:before="0" w:after="0"/>
      </w:pPr>
    </w:p>
    <w:p>
      <w:pPr>
        <w:jc w:val="both"/>
      </w:pPr>
      <w:r>
        <w:t xml:space="preserve">Tekuće pomoći temeljem prijenosa EU sredstava odnose se na Projekt Zaželi  dobro – FAZA IV “ temeljem Ugovora o dodjeli bespovratnih za projekte koji se financiraju iz Europskog socijalnog fonda. Projekt odobren, osigurano sufinanciranje projekta u visini 1.470.000,00 EUR-a. Glavna aktivnost projekta je pružanje usluga potpore i podrške krajnjim korisnicima uz nabavu i podjelu paketa potrepština koja obuhvaća zapošljavanje 35 pružatelja usluga (28 mjeseci) za 210 osoba korisnika. Temeljem podnesenih zahtjeva za nadoknadom sredstava u ovom izvještajnom razdoblju odobreno je i uplaćeno 332.845,80 eura.</w:t>
      </w:r>
    </w:p>
    <w:p/>
    <w:p>
      <w:pPr>
        <w:jc w:val="center"/>
        <w:pStyle w:val="Normal"/>
        <w:spacing w:line="240" w:lineRule="auto"/>
        <w:keepNext/>
      </w:pPr>
      <w:r>
        <w:rPr>
          <w:sz w:val="28"/>
          <w:rFonts w:ascii="Times New Roman" w:hAnsi="Times New Roman"/>
        </w:rPr>
        <w:t xml:space="preserve">Bilješka 16.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temeljem prijenosa EU sredstava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33.098,02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Pr>
      <w:r>
        <w:t xml:space="preserve">Kapitalne pomoći temeljem prijenosa  EU sredstava odnose se na Projekt Izgradnje poljoprivredno inovacijskog centra na Štaliji. Ukupna vrijednost projekta iznosi 3.293.625,81 eura, uz iznos odobrenih bespovratnih sredstava 1.350.000,00 eura. Temeljem podnesenog zahtjeva za nadoknadom sredstava u ovom izvještajnom razdoblju odobreno je i uplaćeno 33.098,02 eura.</w:t>
      </w:r>
    </w:p>
    <w:p/>
    <w:p>
      <w:pPr>
        <w:jc w:val="center"/>
        <w:pStyle w:val="Normal"/>
        <w:spacing w:line="240" w:lineRule="auto"/>
        <w:keepNext/>
      </w:pPr>
      <w:r>
        <w:rPr>
          <w:sz w:val="28"/>
          <w:rFonts w:ascii="Times New Roman" w:hAnsi="Times New Roman"/>
        </w:rPr>
        <w:t xml:space="preserve">Bilješka 17.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imovine (šifre 641+642+643)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103.909,03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91.794,15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88,3</w:t>
            </w:r>
          </w:p>
        </w:tc>
      </w:tr>
    </w:tbl>
    <w:p>
      <w:pPr>
        <w:spacing w:before="0" w:after="0"/>
      </w:pPr>
    </w:p>
    <w:p>
      <w:pPr>
        <w:jc w:val="both"/>
      </w:pPr>
      <w:r>
        <w:t xml:space="preserve">Prihodi od imovine ostvareni su u iznosu 91.794,15 eura i za 11,7% su manji u odnosu na isto razdoblje prethodne godine. Prihodi od zakupa i iznajmljivanja imovine ostvareni su u iznosu 15.305,82 eura, odnosno za 4,2% su manji u odnosu na prethodnu godinu, budući da je dio poslovnih prostora koji su u sklopu sportskih objekata predani na upravljanje tvrtki Kamičak d.o.o. temeljem Ugovora o upravljanju i održavanju sportskih objekata Grada Sinja. Naknada za korištenje nefinancijske imovine ostvarena je u iznosu od 75.696,62 eura i za 9,2% je manja u odnosu na 2025. godinu.</w:t>
      </w:r>
    </w:p>
    <w:p/>
    <w:p>
      <w:pPr>
        <w:jc w:val="center"/>
        <w:pStyle w:val="Normal"/>
        <w:spacing w:line="240" w:lineRule="auto"/>
        <w:keepNext/>
      </w:pPr>
      <w:r>
        <w:rPr>
          <w:sz w:val="28"/>
          <w:rFonts w:ascii="Times New Roman" w:hAnsi="Times New Roman"/>
        </w:rPr>
        <w:t xml:space="preserve">Bilješka 18.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upravnih i administrativnih pristojbi, pristojbi po posebnim propisima i naknada (šifre 651+652+653+654)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424.728,00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324.934,86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76,5</w:t>
            </w:r>
          </w:p>
        </w:tc>
      </w:tr>
    </w:tbl>
    <w:p>
      <w:pPr>
        <w:spacing w:before="0" w:after="0"/>
      </w:pPr>
    </w:p>
    <w:p>
      <w:pPr>
        <w:jc w:val="both"/>
      </w:pPr>
      <w:r>
        <w:t xml:space="preserve">Prihodi od upravnih i administrativnih pristojbi, pristojbi po posebnim propisima i naknada ostvareni su u iznosu 324.934,86 eura što je 23,5% manje ostvarenje u odnosu na isto promatrano razdoblje prethodne godine, te u strukturi pokazuju različite indekse ostvarenja. Najznačajniji prihod u okviru ove skupine prihoda čini komunalna naknada koja je realizirana u iznosu 284.421,91 eura ili 18,4% manje ostvarenje nego prethodne godine. Prihod od komunalnog doprinosa također bilježi smanjenje u odnosu na isto promatrano razdoblje prošle godinu za 44,7%. Realizacija prihoda od komunalnog doprinosa ovisi o dovršetku postupaka za izdavanje akata na temelju kojih se može graditi, odnosno ishođenju potvrda glavnog projekta te o usvojenim zahtjevima za legalizaciju bespravno sagrađenih objekata. </w:t>
      </w:r>
    </w:p>
    <w:p/>
    <w:p>
      <w:pPr>
        <w:jc w:val="center"/>
        <w:pStyle w:val="Normal"/>
        <w:spacing w:line="240" w:lineRule="auto"/>
        <w:keepNext/>
      </w:pPr>
      <w:r>
        <w:rPr>
          <w:sz w:val="28"/>
          <w:rFonts w:ascii="Times New Roman" w:hAnsi="Times New Roman"/>
        </w:rPr>
        <w:t xml:space="preserve">Bilješka 19.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proizvoda i robe te pruženih usluga, prihodi od donacija te povrati po protestiranim jamstvima (šifre 661+663)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24.138,90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40.141,18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166,3</w:t>
            </w:r>
          </w:p>
        </w:tc>
      </w:tr>
    </w:tbl>
    <w:p>
      <w:pPr>
        <w:spacing w:before="0" w:after="0"/>
      </w:pPr>
    </w:p>
    <w:p>
      <w:pPr>
        <w:jc w:val="both"/>
      </w:pPr>
      <w:r>
        <w:t xml:space="preserve">Prihodi od prodaje proizvoda i roba te pruženih usluga ostvareni su u iznosu 40.141,18 eura što je za 66,3% više u odnosu na isto razdoblje 2025. godine. Uglavnom se odnose na refundaciju troškova električne energije (HROTE) u iznosu 29.660,81 eura, te prihod od pruženih usluga za usluge naplate vođenja naknade za uređenje voda od Hrvatskih voda d.d. u iznosu 10.480,37 eura.</w:t>
      </w:r>
    </w:p>
    <w:p/>
    <w:p>
      <w:pPr>
        <w:jc w:val="center"/>
        <w:pStyle w:val="Normal"/>
        <w:spacing w:line="240" w:lineRule="auto"/>
        <w:keepNext/>
      </w:pPr>
      <w:r>
        <w:rPr>
          <w:sz w:val="28"/>
          <w:rFonts w:ascii="Times New Roman" w:hAnsi="Times New Roman"/>
        </w:rPr>
        <w:t xml:space="preserve">Bilješka 20.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Kazne, upravne mjere i ostali prihodi (šifre 681+683)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59.554,43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42.992,73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72,2</w:t>
            </w:r>
          </w:p>
        </w:tc>
      </w:tr>
    </w:tbl>
    <w:p>
      <w:pPr>
        <w:spacing w:before="0" w:after="0"/>
      </w:pPr>
    </w:p>
    <w:p>
      <w:pPr>
        <w:jc w:val="both"/>
      </w:pPr>
      <w:r>
        <w:t xml:space="preserve">Kazne upravne mjere i ostali prihodi ostvareni su u iznosu od 42.992,73 eura što 27,8% manje ostvarenje u odnosu na isto razdoblje 2025. godine. Vrijednosno najznačajniju stavku čine prihodi s osnove eko rente s osnovom odlaganja komunalnog otpada na odlagalište Mojanka, te prihodi od kazni po rješenjima komunalno-prometnih redara.</w:t>
      </w:r>
    </w:p>
    <w:p/>
    <w:p>
      <w:pPr>
        <w:jc w:val="center"/>
        <w:pStyle w:val="Normal"/>
        <w:spacing w:line="240" w:lineRule="auto"/>
        <w:keepNext/>
      </w:pPr>
      <w:r>
        <w:rPr>
          <w:sz w:val="28"/>
          <w:rFonts w:ascii="Times New Roman" w:hAnsi="Times New Roman"/>
        </w:rPr>
        <w:t xml:space="preserve">Bilješka 21.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7.782.521,58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8.417.425,42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108,2</w:t>
            </w:r>
          </w:p>
        </w:tc>
      </w:tr>
    </w:tbl>
    <w:p>
      <w:pPr>
        <w:spacing w:before="0" w:after="0"/>
      </w:pPr>
    </w:p>
    <w:p>
      <w:pPr>
        <w:jc w:val="both"/>
      </w:pPr>
      <w:r>
        <w:t xml:space="preserve">Ukupni rashodi poslovanja ostvareni su u iznosu od 8.417425,42 eura i veći su od rashoda poslovanja prvog polugodišta prethodne godine za 8,2%. </w:t>
      </w:r>
    </w:p>
    <w:p/>
    <w:p>
      <w:pPr>
        <w:jc w:val="center"/>
        <w:pStyle w:val="Normal"/>
        <w:spacing w:line="240" w:lineRule="auto"/>
        <w:keepNext/>
      </w:pPr>
      <w:r>
        <w:rPr>
          <w:sz w:val="28"/>
          <w:rFonts w:ascii="Times New Roman" w:hAnsi="Times New Roman"/>
        </w:rPr>
        <w:t xml:space="preserve">Bilješka 22.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zaposlene (šifre 311+312+313)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922.360,89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819.692,67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88,9</w:t>
            </w:r>
          </w:p>
        </w:tc>
      </w:tr>
    </w:tbl>
    <w:p>
      <w:pPr>
        <w:spacing w:before="0" w:after="0"/>
      </w:pPr>
    </w:p>
    <w:p>
      <w:pPr>
        <w:jc w:val="both"/>
      </w:pPr>
      <w:r>
        <w:t xml:space="preserve">Rashodi za zaposlene iznose 819.692,67 eura i u odnosu na isto promatrano razdoblje 2025. godine manji su 11,1%. U 2025. godini je knjižena trinaesta plaća i upravo iz toga razloga ostvarenje je manje u 2026. godini. Radi se o primjeni novog Pravilnika o proračunskom računovodstvu i računskom planu koji je stupio na snagu 01.01.2025. godine čime se nalaže ukidanje skupine 193 - Kontinuirani rashodi, te priznavanje rashoda poslovanja s danom 01.01.2025. godine. Budući da se rashodi s osnove plaće za prosinac 2024. godine evidentirani u poslovnim knjigama u 2025. godini, tako da je u istom izvještajnom razdoblju prošle godine knjiženo šest plaća.</w:t>
      </w:r>
    </w:p>
    <w:p>
      <w:pPr>
        <w:jc w:val="both"/>
      </w:pPr>
      <w:r>
        <w:t xml:space="preserve">Međutim plaće za siječanj i veljaču 2026. godine, su veće u odnosu na plaće za siječanj i veljaču 2025. godine. Značajan rast plaća bilježe: rashodi za zaposlene u dječjem vrtiću Bili cvitak u skladu sa potpisanim Dodatkom kolektivnom ugovoru. Razlog tome je povećanje osnovice za izračun plaće kao i povećanje koeficijenata složenosti radnih mjesta čime se postiglo usklađenje sa osnovnoškolskim sustavom. Također, rast rashoda za zaposlene u Javnoj vatrogasnoj postrojbi Grada Sinja sukladno potpisanom Kolektivnom ugovoru za JVP Grada Sinja čime je izvršeno usklađenje rashoda za zaposlene sukladno zakonskim propisima (Pravilnik o klasifikaciji radnih mjesta profesionalnih vatrogasaca), te rast rashoda za zaposlene Grada Sinja sukladno donošenju Odluke Gradonačelnika o povećavanju osnovice plaće za djelatnike Gradske uprave. Pored plaća za djelatnike Gradske uprave Grad Sinj provodi i projekt Zaželi dobro - IV faza koji obuhvaća zapošljavanje 35 osoba.</w:t>
      </w:r>
    </w:p>
    <w:p/>
    <w:p>
      <w:pPr>
        <w:jc w:val="center"/>
        <w:pStyle w:val="Normal"/>
        <w:spacing w:line="240" w:lineRule="auto"/>
        <w:keepNext/>
      </w:pPr>
      <w:r>
        <w:rPr>
          <w:sz w:val="28"/>
          <w:rFonts w:ascii="Times New Roman" w:hAnsi="Times New Roman"/>
        </w:rPr>
        <w:t xml:space="preserve">Bilješka 23.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Materijalni rashodi (šifre 321+322+323+324+325+329)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1.394.080,31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1.483.922,77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106,4</w:t>
            </w:r>
          </w:p>
        </w:tc>
      </w:tr>
    </w:tbl>
    <w:p>
      <w:pPr>
        <w:spacing w:before="0" w:after="0"/>
      </w:pPr>
    </w:p>
    <w:p>
      <w:pPr>
        <w:jc w:val="both"/>
      </w:pPr>
      <w:r>
        <w:t xml:space="preserve">Materijalni rashodi ostvareni su u iznosu od 1.483.922,77 eura odnosno veći su za 6,4% u odnosu na prethodnu godinu, odnose se na materijalne rashode Grada bez proračunskih korisnika.</w:t>
      </w:r>
    </w:p>
    <w:p/>
    <w:p>
      <w:pPr>
        <w:jc w:val="center"/>
        <w:pStyle w:val="Normal"/>
        <w:spacing w:line="240" w:lineRule="auto"/>
        <w:keepNext/>
      </w:pPr>
      <w:r>
        <w:rPr>
          <w:sz w:val="28"/>
          <w:rFonts w:ascii="Times New Roman" w:hAnsi="Times New Roman"/>
        </w:rPr>
        <w:t xml:space="preserve">Bilješka 24.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troškova zaposlenima (šifre 3211 do 3214)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12.029,61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10.966,99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91,2</w:t>
            </w:r>
          </w:p>
        </w:tc>
      </w:tr>
    </w:tbl>
    <w:p>
      <w:pPr>
        <w:spacing w:before="0" w:after="0"/>
      </w:pPr>
    </w:p>
    <w:p>
      <w:pPr>
        <w:jc w:val="both"/>
      </w:pPr>
      <w:r>
        <w:t xml:space="preserve">Naknade troškova zaposlenih iznose 10.966,99 eura i u odnosu na 2025. manji su za 8,8%, zbog knjiženja troškova prijevoza u 2025. godini kao sastavnog dijela troškova trinaeste plaće.</w:t>
      </w:r>
    </w:p>
    <w:p/>
    <w:p>
      <w:pPr>
        <w:jc w:val="center"/>
        <w:pStyle w:val="Normal"/>
        <w:spacing w:line="240" w:lineRule="auto"/>
        <w:keepNext/>
      </w:pPr>
      <w:r>
        <w:rPr>
          <w:sz w:val="28"/>
          <w:rFonts w:ascii="Times New Roman" w:hAnsi="Times New Roman"/>
        </w:rPr>
        <w:t xml:space="preserve">Bilješka 25.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materijal i energiju (šifre 3221 do 3227)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331.291,05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287.616,54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86,8</w:t>
            </w:r>
          </w:p>
        </w:tc>
      </w:tr>
    </w:tbl>
    <w:p>
      <w:pPr>
        <w:spacing w:before="0" w:after="0"/>
      </w:pPr>
    </w:p>
    <w:p>
      <w:pPr>
        <w:jc w:val="both"/>
      </w:pPr>
      <w:r>
        <w:t xml:space="preserve">Rashodi za materijal i energiju ostvareni su u iznosu od 287.616,54 eura, te bilježe  smanjenje od 13,2% u odnosu na 2025. godinu. Vrijednosno najznačajniju stavku u okviru ove skupine rashoda čine rashodi za električnu energiju koji iznose 236.168,98 eura, ali su manji u odnosu na prethodnu godinu za 8,8%.</w:t>
      </w:r>
    </w:p>
    <w:p/>
    <w:p>
      <w:pPr>
        <w:jc w:val="center"/>
        <w:pStyle w:val="Normal"/>
        <w:spacing w:line="240" w:lineRule="auto"/>
        <w:keepNext/>
      </w:pPr>
      <w:r>
        <w:rPr>
          <w:sz w:val="28"/>
          <w:rFonts w:ascii="Times New Roman" w:hAnsi="Times New Roman"/>
        </w:rPr>
        <w:t xml:space="preserve">Bilješka 26.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usluge (šifre 3231 do 3239)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849.079,64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965.301,98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113,7</w:t>
            </w:r>
          </w:p>
        </w:tc>
      </w:tr>
    </w:tbl>
    <w:p>
      <w:pPr>
        <w:spacing w:before="0" w:after="0"/>
      </w:pPr>
    </w:p>
    <w:p>
      <w:pPr>
        <w:jc w:val="both"/>
      </w:pPr>
      <w:r>
        <w:t xml:space="preserve">Rashodi za usluge ostvareni su u iznosu od 965.301,98 eura i bilježe povećanje za 13,7% u odnosu na 2025. godinu. U okviru rashoda za usluge vrijednosno najznačajniji su rashodi za usluge tekućeg i investicijskog održavanja koje iznose 392.479,06 eura u odnosu na prethodnu godinu bilježe povećanje od 30,0%, a uglavnom su vezani za realizaciju Programa održavanja komunalne infrastrukture, te rashode vezane za održavanje sportskih objekata. Komunalne usluge su drugi vrijednosno najznačajniji rashodi u strukturi materijalnih rashoda, iznose 300.503,60 eura i bilježe povećanje za 12,1% u odnosu na prethodnu godinu. Intelektualne i osobne usluge iznose 87.742,49 eura te bilježe pad od 6,8%. Ostale usluge ostvarene su u iznosu 77.290,37 eura i manje su u odnosu na prethodnu godinu za 8,4%.</w:t>
      </w:r>
    </w:p>
    <w:p/>
    <w:p>
      <w:pPr>
        <w:jc w:val="center"/>
        <w:pStyle w:val="Normal"/>
        <w:spacing w:line="240" w:lineRule="auto"/>
        <w:keepNext/>
      </w:pPr>
      <w:r>
        <w:rPr>
          <w:sz w:val="28"/>
          <w:rFonts w:ascii="Times New Roman" w:hAnsi="Times New Roman"/>
        </w:rPr>
        <w:t xml:space="preserve">Bilješka 27.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rashodi poslovanja (šifre 3291 do 3299)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201.680,01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220.037,26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109,1</w:t>
            </w:r>
          </w:p>
        </w:tc>
      </w:tr>
    </w:tbl>
    <w:p>
      <w:pPr>
        <w:spacing w:before="0" w:after="0"/>
      </w:pPr>
    </w:p>
    <w:p>
      <w:pPr>
        <w:jc w:val="both"/>
      </w:pPr>
      <w:r>
        <w:t xml:space="preserve">Ostali nespomenuti rashodi odnose se na naknade predstavničkog tijela, premije osiguranja, reprezentaciju, pristojbe i naknade, te ostale rashode. Ostvareni su u iznosu  220.037,26 eura i veći su u odnosu na prethodnu godinu za 9,1%. Vrijednosno najznačajniju stavku čini trošak organizacije Adventa 2025. u iznosu 138.058,32 eura.</w:t>
      </w:r>
    </w:p>
    <w:p/>
    <w:p>
      <w:pPr>
        <w:jc w:val="center"/>
        <w:pStyle w:val="Normal"/>
        <w:spacing w:line="240" w:lineRule="auto"/>
        <w:keepNext/>
      </w:pPr>
      <w:r>
        <w:rPr>
          <w:sz w:val="28"/>
          <w:rFonts w:ascii="Times New Roman" w:hAnsi="Times New Roman"/>
        </w:rPr>
        <w:t xml:space="preserve">Bilješka 28.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Financijski rashodi (šifre 341+342+343)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12.038,45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13.001,06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108,0</w:t>
            </w:r>
          </w:p>
        </w:tc>
      </w:tr>
    </w:tbl>
    <w:p>
      <w:pPr>
        <w:spacing w:before="0" w:after="0"/>
      </w:pPr>
    </w:p>
    <w:p>
      <w:pPr>
        <w:jc w:val="both"/>
      </w:pPr>
      <w:r>
        <w:t xml:space="preserve">Kod financijskih rashoda evidentirano je povećanje u odnosu na isto razdoblje prethodne godine za 8,0% odnose se na usluge vođenja platnog prometa po računu, te ostale bankarske usluge i usluge FINA-e. </w:t>
      </w:r>
    </w:p>
    <w:p/>
    <w:p>
      <w:pPr>
        <w:jc w:val="center"/>
        <w:pStyle w:val="Normal"/>
        <w:spacing w:line="240" w:lineRule="auto"/>
        <w:keepNext/>
      </w:pPr>
      <w:r>
        <w:rPr>
          <w:sz w:val="28"/>
          <w:rFonts w:ascii="Times New Roman" w:hAnsi="Times New Roman"/>
        </w:rPr>
        <w:t xml:space="preserve">Bilješka 29.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Subvencije (šifre 351+352+353)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178.650,42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118.853,21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66,5</w:t>
            </w:r>
          </w:p>
        </w:tc>
      </w:tr>
    </w:tbl>
    <w:p>
      <w:pPr>
        <w:spacing w:before="0" w:after="0"/>
      </w:pPr>
    </w:p>
    <w:p>
      <w:pPr>
        <w:jc w:val="both"/>
      </w:pPr>
      <w:r>
        <w:t xml:space="preserve">Subvencije bilježe manje ostvarenje u odnosu na isto promatrano razdoblje 2025. godine za 33,5%. Subvencije su doznačene Gradskom kinu u iznosu 8.000,00 eura, Poduzetničkom centru za održavanje sajma pršuta u iznosu 8.000,00 eura, subvencije poljoprivrednicima u iznosu 6.636,18 eura, te subvencije obrtnicima i poduzetnicima u iznosu od 96.217,03 eura. </w:t>
      </w:r>
    </w:p>
    <w:p/>
    <w:p>
      <w:pPr>
        <w:jc w:val="center"/>
        <w:pStyle w:val="Normal"/>
        <w:spacing w:line="240" w:lineRule="auto"/>
        <w:keepNext/>
      </w:pPr>
      <w:r>
        <w:rPr>
          <w:sz w:val="28"/>
          <w:rFonts w:ascii="Times New Roman" w:hAnsi="Times New Roman"/>
        </w:rPr>
        <w:t xml:space="preserve">Bilješka 30.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dane u inozemstvo i unutar općeg proračuna (šifre 361+362+363+365+366+367+368+369)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2.457.007,66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2.628.684,61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107,0</w:t>
            </w:r>
          </w:p>
        </w:tc>
      </w:tr>
    </w:tbl>
    <w:p>
      <w:pPr>
        <w:spacing w:before="0" w:after="0"/>
      </w:pPr>
    </w:p>
    <w:p>
      <w:pPr>
        <w:jc w:val="both"/>
      </w:pPr>
      <w:r>
        <w:t xml:space="preserve">Pomoći dane u inozemstvo i unutar općeg proračuna ostvarene su u iznosu od 2.628.684,61 eura odnosno za 7,0% više u odnosu na isto promatrano razdoblje 2025. godine.</w:t>
      </w:r>
    </w:p>
    <w:p/>
    <w:p>
      <w:pPr>
        <w:jc w:val="center"/>
        <w:pStyle w:val="Normal"/>
        <w:spacing w:line="240" w:lineRule="auto"/>
        <w:keepNext/>
      </w:pPr>
      <w:r>
        <w:rPr>
          <w:sz w:val="28"/>
          <w:rFonts w:ascii="Times New Roman" w:hAnsi="Times New Roman"/>
        </w:rPr>
        <w:t xml:space="preserve">Bilješka 31.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proračunskim korisnicima drugih proračuna (šifre 3661 do 3663)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111.924,81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9.485,50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8,5</w:t>
            </w:r>
          </w:p>
        </w:tc>
      </w:tr>
    </w:tbl>
    <w:p>
      <w:pPr>
        <w:spacing w:before="0" w:after="0"/>
      </w:pPr>
    </w:p>
    <w:p>
      <w:pPr>
        <w:jc w:val="both"/>
      </w:pPr>
      <w:r>
        <w:t xml:space="preserve">Prijenos proračunskim korisnicima drugih proračuna ostvarene su u iznosu 9.485,50 eura, ostvarenje je manje za 91,5% u odnosu na isto promatrano razdoblje 2025. godine,  budući da je u prošloj godini ŽUC provodio projekt izgradnje nogostupa sa biciklističkom stazom i javnom rasvjetom - nastavak do aerodroma, a Grad je osigurao pomoć u iznosu 145.298,87 eura sukladno sklopljenom Sporazumu.</w:t>
      </w:r>
    </w:p>
    <w:p>
      <w:pPr>
        <w:jc w:val="both"/>
      </w:pPr>
      <w:r>
        <w:t xml:space="preserve">U 2026. godini isplaćene su pomoći Muzeju Cetinske krajine u iznosu od 3.500,00 eura, te pomoći školama sa područja grada za organizaciju maturalnih večeri i organizaciju školskih natjecanja u iznosu od 5.985,50 eura.</w:t>
      </w:r>
    </w:p>
    <w:p/>
    <w:p>
      <w:pPr>
        <w:jc w:val="center"/>
        <w:pStyle w:val="Normal"/>
        <w:spacing w:line="240" w:lineRule="auto"/>
        <w:keepNext/>
      </w:pPr>
      <w:r>
        <w:rPr>
          <w:sz w:val="28"/>
          <w:rFonts w:ascii="Times New Roman" w:hAnsi="Times New Roman"/>
        </w:rPr>
        <w:t xml:space="preserve">Bilješka 32.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Prijenosi proračunskim korisnicima iz nadležnog proračuna za financiranje redovne djelatnosti (šifre 3672 do 3674)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2.345.082,85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2.619.199,11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111,7</w:t>
            </w:r>
          </w:p>
        </w:tc>
      </w:tr>
    </w:tbl>
    <w:p>
      <w:pPr>
        <w:spacing w:before="0" w:after="0"/>
      </w:pPr>
    </w:p>
    <w:p>
      <w:pPr>
        <w:jc w:val="both"/>
      </w:pPr>
      <w:r>
        <w:t xml:space="preserve">Prijenos proračunskim korisnicima iz nadležnog proračuna za financiranje redovne djelatnosti utrošeno je 2.619.199,11 eura i bilježi povećanje za 11,7%. Evidentirani su prijenosi proračunskim korisnicima kako slijedi:</w:t>
      </w:r>
    </w:p>
    <w:p>
      <w:r>
        <w:t xml:space="preserve">•        za Gradsku knjižnicu – 36.955,50 eura,</w:t>
      </w:r>
    </w:p>
    <w:p>
      <w:r>
        <w:t xml:space="preserve">•        za Dječji vrtić Bili Cvitak – 1.985.378,00 eura,</w:t>
      </w:r>
    </w:p>
    <w:p>
      <w:r>
        <w:t xml:space="preserve">•        za JVP Sinj – 552.149,49 eura,</w:t>
      </w:r>
    </w:p>
    <w:p>
      <w:r>
        <w:t xml:space="preserve">•        za Gradsku galerija Sikirica – 44.716,12 eura.</w:t>
      </w:r>
    </w:p>
    <w:p/>
    <w:p>
      <w:pPr>
        <w:jc w:val="center"/>
        <w:pStyle w:val="Normal"/>
        <w:spacing w:line="240" w:lineRule="auto"/>
        <w:keepNext/>
      </w:pPr>
      <w:r>
        <w:rPr>
          <w:sz w:val="28"/>
          <w:rFonts w:ascii="Times New Roman" w:hAnsi="Times New Roman"/>
        </w:rPr>
        <w:t xml:space="preserve">Bilješka 33.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građanima i kućanstvima na temelju osiguranja i druge naknade (šifre 371+372)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1.119.243,61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1.329.184,55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118,8</w:t>
            </w:r>
          </w:p>
        </w:tc>
      </w:tr>
    </w:tbl>
    <w:p>
      <w:pPr>
        <w:spacing w:before="0" w:after="0"/>
      </w:pPr>
    </w:p>
    <w:p>
      <w:pPr>
        <w:jc w:val="both"/>
      </w:pPr>
      <w:r>
        <w:t xml:space="preserve">Naknade građanima i kućanstvima na temelju osiguranja i druge naknade ostvarene su u iznosu 1.329.184,55 eura i veće su u odnosu na 2025. godinu za 18,8%. Izvršavali su se svi rashodi kao i prethodnih godina:</w:t>
      </w:r>
    </w:p>
    <w:p>
      <w:pPr>
        <w:jc w:val="both"/>
      </w:pPr>
      <w:r>
        <w:t xml:space="preserve">Socijalne pomoći po odlukama Gradonačelnika i po odluka Socijalnog vijeća izvršene su u iznosu od 132.217,86 eura.</w:t>
      </w:r>
    </w:p>
    <w:p>
      <w:pPr>
        <w:jc w:val="both"/>
      </w:pPr>
      <w:r>
        <w:t xml:space="preserve">Na temelju Odluke o socijalnoj skrbi Grada Sinja u 2026. godini podijeljene su uskrsnice u iznosu 80,00 eura za nezaposlene osobe i umirovljenike ovisno o visini mirovine, s mirovinom do 200,00 eura / 150,00 eura, mirovinom od 200,00 eura-300,00eura / 110 eura , s mirovinom od 300,00 do 450,00 eura / 80,00 eura. Za tu namjenu  utrošeno je  249.690,00 eura.</w:t>
      </w:r>
    </w:p>
    <w:p>
      <w:pPr>
        <w:jc w:val="both"/>
      </w:pPr>
      <w:r>
        <w:t xml:space="preserve">Za troškove stanovanja korisnicima ZMN (45 korisnika) u 2026. god. izdvojeno je 39.418,80 eura.</w:t>
      </w:r>
    </w:p>
    <w:p>
      <w:pPr>
        <w:jc w:val="both"/>
      </w:pPr>
      <w:r>
        <w:t xml:space="preserve">U okviru Programa školstva – dodijeljene su stipendije svim redovnim studentima u iznosu 150,00 eura mjesečno za pet mjeseci i učeničke stipendija na iznos od 50,00 eura za pet mjeseci. Ukupno isplaćeno sa obje osnove 190.250,00 eura.</w:t>
      </w:r>
    </w:p>
    <w:p>
      <w:pPr>
        <w:jc w:val="both"/>
      </w:pPr>
      <w:r>
        <w:t xml:space="preserve">U 2026. godini Grad Sinj je osigurao besplatan prijevoz svim učenicima srednjih škola i studentima u mjesnom i međumjesnom prijevozu na relaciji Sinj – Split, Sinj – Knin. Za tu namjenu utrošeno je 136.848,25 eura.</w:t>
      </w:r>
    </w:p>
    <w:p>
      <w:pPr>
        <w:jc w:val="both"/>
      </w:pPr>
      <w:r>
        <w:t xml:space="preserve">U 2026. godini temeljem Odluke o socijalnoj skrbi isplaćene su naknade za novorođenu djecu  1.327,23 eura za prvo, 1.990,84 eura za drugo i 3.981,68 eura za treće i svako slijedeće novorođeno dijete u obitelji čime je isplaćeno 226.955,93 eura.</w:t>
      </w:r>
    </w:p>
    <w:p>
      <w:pPr>
        <w:jc w:val="both"/>
      </w:pPr>
      <w:r>
        <w:t xml:space="preserve">Novčana pomoć roditeljima koji su ostvarili pravo na upis u dječji vrtić, a nisu mogli biti upisani zbog popunjenosti kapaciteta vrtića izdvojeno je 343.419,94 eura. Novčana pomoć iznosi 250,00 eura mjesečno po djetetu. </w:t>
      </w:r>
    </w:p>
    <w:p>
      <w:pPr>
        <w:jc w:val="both"/>
      </w:pPr>
      <w:r>
        <w:t xml:space="preserve">Ostale socijalne pomoći poput priključaka na komunalnu infrastrukturu, socijalnih paketa i socijalne samoposluge, pomoći osnovnoškolcima i ostale pomoći ostvarene su u iznosu od 10.383,77 eura.</w:t>
      </w:r>
      <w:r>
        <w:br/>
      </w:r>
      <w:r>
        <w:t xml:space="preserve"> </w:t>
      </w:r>
    </w:p>
    <w:p/>
    <w:p>
      <w:pPr>
        <w:jc w:val="center"/>
        <w:pStyle w:val="Normal"/>
        <w:spacing w:line="240" w:lineRule="auto"/>
        <w:keepNext/>
      </w:pPr>
      <w:r>
        <w:rPr>
          <w:sz w:val="28"/>
          <w:rFonts w:ascii="Times New Roman" w:hAnsi="Times New Roman"/>
        </w:rPr>
        <w:t xml:space="preserve">Bilješka 34.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donacije, kazne, naknade šteta i kapitalne pomoći (šifre 381+382+383+386)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1.699.140,24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2.024.086,55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119,1</w:t>
            </w:r>
          </w:p>
        </w:tc>
      </w:tr>
    </w:tbl>
    <w:p>
      <w:pPr>
        <w:spacing w:before="0" w:after="0"/>
      </w:pPr>
    </w:p>
    <w:p>
      <w:pPr>
        <w:jc w:val="both"/>
      </w:pPr>
      <w:r>
        <w:t xml:space="preserve">Ostali rashodi ostvareni su u iznosu od 2.024.086,55 eura i u odnosu na prvu polovicu 2025. godine veći su za 19,1%. </w:t>
      </w:r>
    </w:p>
    <w:p/>
    <w:p>
      <w:pPr>
        <w:jc w:val="center"/>
        <w:pStyle w:val="Normal"/>
        <w:spacing w:line="240" w:lineRule="auto"/>
        <w:keepNext/>
      </w:pPr>
      <w:r>
        <w:rPr>
          <w:sz w:val="28"/>
          <w:rFonts w:ascii="Times New Roman" w:hAnsi="Times New Roman"/>
        </w:rPr>
        <w:t xml:space="preserve">Bilješka 35.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donacije (šifre 3811 do 3813)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914.324,26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1.118.153,24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122,3</w:t>
            </w:r>
          </w:p>
        </w:tc>
      </w:tr>
    </w:tbl>
    <w:p>
      <w:pPr>
        <w:spacing w:before="0" w:after="0"/>
      </w:pPr>
    </w:p>
    <w:p>
      <w:pPr>
        <w:jc w:val="both"/>
      </w:pPr>
      <w:r>
        <w:t xml:space="preserve">Tekuće donacije su ostvarene u iznosu od 1.118.153,24 eura, veće su za 22,3% u odnosu na isto razdoblje 2025. godine. Najveći udio u isplatama imaju sredstva za realizaciju programa sporta, programa kulture, turistička zajednica, i sl. </w:t>
      </w:r>
    </w:p>
    <w:p/>
    <w:p>
      <w:pPr>
        <w:jc w:val="center"/>
        <w:pStyle w:val="Normal"/>
        <w:spacing w:line="240" w:lineRule="auto"/>
        <w:keepNext/>
      </w:pPr>
      <w:r>
        <w:rPr>
          <w:sz w:val="28"/>
          <w:rFonts w:ascii="Times New Roman" w:hAnsi="Times New Roman"/>
        </w:rPr>
        <w:t xml:space="preserve">Bilješka 36.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Kazne, penali i naknade štete (šifre 3831 do 3835)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103.368,37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112.771,56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109,1</w:t>
            </w:r>
          </w:p>
        </w:tc>
      </w:tr>
    </w:tbl>
    <w:p>
      <w:pPr>
        <w:spacing w:before="0" w:after="0"/>
      </w:pPr>
    </w:p>
    <w:p>
      <w:pPr>
        <w:jc w:val="both"/>
      </w:pPr>
      <w:r>
        <w:t xml:space="preserve">Kazne, penali i naknade štete ostvarene su u iznosu 112.771,56 eura i veće su u odnosu na 2025. godinu za 9,1%. Odnose se na naknadu za smanjenje količine miješanog komunalnog otpada po rješenju Fonda za zaštitu okoliša i energetsku učinkovitost u iznosu od 100,021,56 eura, te na ostale naknade pravnim i fizičkim osobama u iznosu od 12.750,00 eura.</w:t>
      </w:r>
    </w:p>
    <w:p/>
    <w:p>
      <w:pPr>
        <w:jc w:val="center"/>
        <w:pStyle w:val="Normal"/>
        <w:spacing w:line="240" w:lineRule="auto"/>
        <w:keepNext/>
      </w:pPr>
      <w:r>
        <w:rPr>
          <w:sz w:val="28"/>
          <w:rFonts w:ascii="Times New Roman" w:hAnsi="Times New Roman"/>
        </w:rPr>
        <w:t xml:space="preserve">Bilješka 37.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(šifre 3861 do 3865)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634.313,23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793.161,75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125,0</w:t>
            </w:r>
          </w:p>
        </w:tc>
      </w:tr>
    </w:tbl>
    <w:p>
      <w:pPr>
        <w:spacing w:before="0" w:after="0"/>
      </w:pPr>
    </w:p>
    <w:p>
      <w:pPr>
        <w:jc w:val="both"/>
      </w:pPr>
      <w:r>
        <w:t xml:space="preserve">Kapitalne pomoći realizirane u ukupnom iznosu od 793.161,75 eura, te su veće u odnosu na isto promatrano razdoblje 2025. godine za 25,0%.</w:t>
      </w:r>
    </w:p>
    <w:p>
      <w:pPr>
        <w:jc w:val="both"/>
      </w:pPr>
      <w:r>
        <w:t xml:space="preserve">Doznačene su za slijedeće namjene :</w:t>
      </w:r>
    </w:p>
    <w:p>
      <w:pPr>
        <w:jc w:val="both"/>
      </w:pPr>
      <w:r>
        <w:t xml:space="preserve">•        Vodovodu i odvodnji Cetinske krajine – za sufinanciranje Projekta izgradnje Integralnog sustava odvodnje iz fondova EU – 691.695,33 eura, te za nabavku urbane opreme 725,00 eura.</w:t>
      </w:r>
    </w:p>
    <w:p>
      <w:pPr>
        <w:jc w:val="both"/>
      </w:pPr>
      <w:r>
        <w:t xml:space="preserve">•        GZ Kukuzovac – za izgradnju prometnice u poduzetničkoj zoni – 85.866,42 eura</w:t>
      </w:r>
    </w:p>
    <w:p>
      <w:pPr>
        <w:jc w:val="both"/>
      </w:pPr>
      <w:r>
        <w:t xml:space="preserve">•        Kamičak d.o.o. Sinj – za najam montažnog klizališta s popratnom opremom – 14.875,00 eura</w:t>
      </w:r>
    </w:p>
    <w:p/>
    <w:p>
      <w:pPr>
        <w:jc w:val="center"/>
        <w:pStyle w:val="Normal"/>
        <w:spacing w:line="240" w:lineRule="auto"/>
        <w:keepNext/>
      </w:pPr>
      <w:r>
        <w:rPr>
          <w:sz w:val="28"/>
          <w:rFonts w:ascii="Times New Roman" w:hAnsi="Times New Roman"/>
        </w:rPr>
        <w:t xml:space="preserve">Bilješka 38.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149.247,54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29.187,58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19,6</w:t>
            </w:r>
          </w:p>
        </w:tc>
      </w:tr>
    </w:tbl>
    <w:p>
      <w:pPr>
        <w:spacing w:before="0" w:after="0"/>
      </w:pPr>
    </w:p>
    <w:p>
      <w:pPr>
        <w:jc w:val="both"/>
      </w:pPr>
      <w:r>
        <w:t xml:space="preserve">Prihodi od prodaje nefinancijske imovine ostvareni su u iznosu od 29.187,58 eura što je manje za 80,4%  u odnosu na isto razdoblje prethodne godine. </w:t>
      </w:r>
    </w:p>
    <w:p/>
    <w:p>
      <w:pPr>
        <w:jc w:val="center"/>
        <w:pStyle w:val="Normal"/>
        <w:spacing w:line="240" w:lineRule="auto"/>
        <w:keepNext/>
      </w:pPr>
      <w:r>
        <w:rPr>
          <w:sz w:val="28"/>
          <w:rFonts w:ascii="Times New Roman" w:hAnsi="Times New Roman"/>
        </w:rPr>
        <w:t xml:space="preserve">Bilješka 39.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neproizvedene dugotrajne imovine (šifre 711+712)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139.268,65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25.969,34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18,6</w:t>
            </w:r>
          </w:p>
        </w:tc>
      </w:tr>
    </w:tbl>
    <w:p>
      <w:pPr>
        <w:spacing w:before="0" w:after="0"/>
      </w:pPr>
    </w:p>
    <w:p>
      <w:pPr>
        <w:jc w:val="both"/>
      </w:pPr>
      <w:r>
        <w:t xml:space="preserve">Prihodi od prodaje neproizvedene dugotrajne imovine ostvareni su u iznosu 25.969,34 eura, te bilježe pad od 61,4% u odnosu na prethodnu godinu, a rezultat je manje sklopljenih kupoprodajnih ugovora o prodaji zemljišta koji se prvenstveno odnose na prodaju zemljišta na području Gospodarske zone Kukuzovac temeljem provedenih natječaja za prodaju/pravo građenja građevinskog zemljišta na području GZK u iznosu 13.924,90 eura. Prihodi s osnove prodaje ostalog građevinskog zemljišta ostvareni su u iznosu 12.044,44 eura.</w:t>
      </w:r>
    </w:p>
    <w:p/>
    <w:p>
      <w:pPr>
        <w:jc w:val="center"/>
        <w:pStyle w:val="Normal"/>
        <w:spacing w:line="240" w:lineRule="auto"/>
        <w:keepNext/>
      </w:pPr>
      <w:r>
        <w:rPr>
          <w:sz w:val="28"/>
          <w:rFonts w:ascii="Times New Roman" w:hAnsi="Times New Roman"/>
        </w:rPr>
        <w:t xml:space="preserve">Bilješka 40.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proizvedene dugotrajne imovine (šifre 721+722+723+724+725+726)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9.978,89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3.218,24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32,3</w:t>
            </w:r>
          </w:p>
        </w:tc>
      </w:tr>
    </w:tbl>
    <w:p>
      <w:pPr>
        <w:spacing w:before="0" w:after="0"/>
      </w:pPr>
    </w:p>
    <w:p>
      <w:pPr>
        <w:jc w:val="both"/>
      </w:pPr>
      <w:r>
        <w:t xml:space="preserve">Prihod od prodaje stambenih objekata odnosi se na prihod od prodaje stanova na kojima je postojalo stanarsko pravo, ostvareni su u iznosu od 3.218,24 eura, te bilježi pad od 48,9%.</w:t>
      </w:r>
    </w:p>
    <w:p/>
    <w:p>
      <w:pPr>
        <w:jc w:val="center"/>
        <w:pStyle w:val="Normal"/>
        <w:spacing w:line="240" w:lineRule="auto"/>
        <w:keepNext/>
      </w:pPr>
      <w:r>
        <w:rPr>
          <w:sz w:val="28"/>
          <w:rFonts w:ascii="Times New Roman" w:hAnsi="Times New Roman"/>
        </w:rPr>
        <w:t xml:space="preserve">Bilješka 41.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271.631,20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119.096,33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43,8</w:t>
            </w:r>
          </w:p>
        </w:tc>
      </w:tr>
    </w:tbl>
    <w:p>
      <w:pPr>
        <w:spacing w:before="0" w:after="0"/>
      </w:pPr>
    </w:p>
    <w:p>
      <w:r>
        <w:t xml:space="preserve">Rashodi za  nabavu nefinancijske imovine realizirani su u iznosu od 119.096,33 eura, te su značajno manji u odnosu na isto razdoblje 2025. godine za 56,2%. Struktura rashoda je slijedeća:</w:t>
      </w:r>
    </w:p>
    <w:p>
      <w:r>
        <w:t xml:space="preserve">•        Izgradnja dječjeg vrtića u Glavicama – 97.411,63 eura</w:t>
      </w:r>
    </w:p>
    <w:p>
      <w:r>
        <w:t xml:space="preserve">•        Obnova uredskih prostorija i opreme – 20.309,70 eura</w:t>
      </w:r>
    </w:p>
    <w:p>
      <w:r>
        <w:t xml:space="preserve">•        Sanacija gradske tvrđave – 500,00 eura</w:t>
      </w:r>
    </w:p>
    <w:p>
      <w:r>
        <w:t xml:space="preserve">•        Izgradnja poljoprivredno inovacijskog centra na Štaliji – 875,00 eura</w:t>
      </w:r>
    </w:p>
    <w:p/>
    <w:p>
      <w:pPr>
        <w:jc w:val="center"/>
        <w:pStyle w:val="Normal"/>
        <w:spacing w:line="240" w:lineRule="auto"/>
        <w:keepNext/>
      </w:pPr>
      <w:r>
        <w:rPr>
          <w:sz w:val="28"/>
          <w:rFonts w:ascii="Times New Roman" w:hAnsi="Times New Roman"/>
        </w:rPr>
        <w:t xml:space="preserve">Bilješka 42.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816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(povrati) glavnice zajmova danih trgovačkim društvima i obrtnicima izvan javnog sektora (šifre 8163 do 8166)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816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1.974,60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Pr>
      <w:r>
        <w:t xml:space="preserve">Povrat pozajmice dane trgovačkom društvu i obrtnicima izvan javnog sektora, OPG Nenad Marković u iznosu 1.974,60 eura.</w:t>
      </w:r>
    </w:p>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43.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19.206,97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Pr>
      <w:r>
        <w:t xml:space="preserve">Stanje dospjelih obveza Grada Sinja na dan 30.06.2026. godine iznosi 19.206,97 eura. Dospjele obveze koje su vezane za obveze za rashode poslovanja iznose 15.906,97 eura, odnose se na odvjetničke usluge, najamnine, troškove prijevoza učenika, a navedene obveze su podmirene u srpnju 2026. godine. Dospjele obveze koje su vezane za obveze za nabavku nefinancijske imovine iznose 3.300,00 eura, odnose se na nabavu opreme za gradsku upravu i podmirene su u srpnju 2026.godine.</w:t>
      </w:r>
    </w:p>
    <w:p/>
    <w:p>
      <w:pPr>
        <w:jc w:val="center"/>
        <w:pStyle w:val="Normal"/>
        <w:spacing w:line="240" w:lineRule="auto"/>
        <w:keepNext/>
      </w:pPr>
      <w:r>
        <w:rPr>
          <w:sz w:val="28"/>
          <w:rFonts w:ascii="Times New Roman" w:hAnsi="Times New Roman"/>
        </w:rPr>
        <w:t xml:space="preserve">Bilješka 44.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c) Prekoračenje 181 do 360 dana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D232C</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6.250,00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Radi se o računu za uslugu koji je zaprimljeni kroz sustav e-računa, kao i kopija ugovora, međutim obveza će biti podmirena po primitku original ugovora.</w:t>
      </w:r>
    </w:p>
    <w:p/>
    <w:p>
      <w:pPr>
        <w:jc w:val="center"/>
        <w:pStyle w:val="Normal"/>
        <w:spacing w:line="240" w:lineRule="auto"/>
        <w:keepNext/>
      </w:pPr>
      <w:r>
        <w:rPr>
          <w:sz w:val="28"/>
          <w:rFonts w:ascii="Times New Roman" w:hAnsi="Times New Roman"/>
        </w:rPr>
        <w:t xml:space="preserve">Bilješka 45.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nedospjelih obveza na kraju izvještajnog razdoblja (šifre V010 + ND23 + ND24 + 'ND dio 25,26' + ND27)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671.843,72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Pr>
      <w:r>
        <w:t xml:space="preserve">Stanje ne dospjelih obveza Grada Sinja na dan 30.06.2026. godine iznosi 671.843,72 eura. Nedospjele obveze odnose se na obveze za rashode poslovanja u iznosu od 201.085,26 eura, odnosno obveze za usluge tekućeg i investicijskog održavanja, obveze za usluge promidžbe, na obveze za zakupnine i najamnine, na obveze za komunalne usluge, obveze za intelektualne usluge, obveze za prijevoz studenata.</w:t>
      </w:r>
    </w:p>
    <w:p>
      <w:pPr>
        <w:jc w:val="both"/>
      </w:pPr>
      <w:r>
        <w:t xml:space="preserve">Nedospjele obveze za nabavu nefinancijske imovine iznose 2.398,89 eura, a odnose se na nabavnu opreme za gradsku upravu.</w:t>
      </w:r>
    </w:p>
    <w:p>
      <w:pPr>
        <w:jc w:val="both"/>
      </w:pPr>
      <w:r>
        <w:t xml:space="preserve">Obveze za predujmove, depozite i jamčevne pologe i tuđe prihode u iznosu 468.359,57 eura. Glavninu ovih obveza čine primljeni predujmovi za realizaciju EU projekata u vrijednosti 445.650,00 eura. Obveze za primljene jamčevine iznose 22.709,57 eura.</w:t>
      </w:r>
    </w:p>
    <w:p/>
    <w:p>
      <w:pPr>
        <w:jc w:val="center"/>
        <w:pStyle w:val="Normal"/>
        <w:spacing w:line="240" w:lineRule="auto"/>
        <w:keepNext/>
      </w:pPr>
      <w:r>
        <w:rPr>
          <w:sz w:val="28"/>
          <w:rFonts w:ascii="Times New Roman" w:hAnsi="Times New Roman"/>
        </w:rPr>
        <w:t xml:space="preserve">Bilješka 46.</w:t>
      </w:r>
    </w:p>
    <w:p>
      <w:pPr>
        <w:jc w:val="both"/>
        <w:pStyle w:val="Normal"/>
        <w:spacing w:line="240" w:lineRule="auto"/>
      </w:pPr>
      <w:r>
        <w:rPr>
          <w:b/>
          <w:sz w:val="24"/>
          <w:rFonts w:ascii="Times New Roman" w:hAnsi="Times New Roman"/>
        </w:rPr>
        <w:t xml:space="preserve">EU izvještaj</w:t>
      </w:r>
    </w:p>
    <w:p>
      <w:r>
        <w:t xml:space="preserve">EU izvještaj</w:t>
      </w:r>
    </w:p>
    <w:p>
      <w:r>
        <w:t xml:space="preserve">EU IZVJEŠTAJ PO IZVORIMA FINANCIRANJA</w:t>
      </w:r>
    </w:p>
    <w:p>
      <w:r>
        <w:rPr>
          <w:b/>
          <w:i/>
        </w:rPr>
        <w:t xml:space="preserve">561 - Europski socijalni fond plus</w:t>
      </w:r>
    </w:p>
    <w:p>
      <w:r>
        <w:rPr>
          <w:i/>
        </w:rPr>
        <w:t xml:space="preserve">Ugovor o dodjeli bespovratnih sredstava kodnog broja: SF 3.4.11.01.0123 za poziv "Zaželi"</w:t>
      </w:r>
    </w:p>
    <w:p>
      <w:pPr>
        <w:jc w:val="both"/>
      </w:pPr>
      <w:r>
        <w:t xml:space="preserve">•        Ukupna vrijednost ugovora 1.470.000,00 eura </w:t>
      </w:r>
    </w:p>
    <w:p>
      <w:pPr>
        <w:jc w:val="both"/>
      </w:pPr>
      <w:r>
        <w:t xml:space="preserve">•        Ukupna vrijednost dodijeljenih bespovratnih sredstava 1.470.000,00 eura (100% prihvatljiv trošak).</w:t>
      </w:r>
    </w:p>
    <w:p>
      <w:pPr>
        <w:jc w:val="both"/>
      </w:pPr>
      <w:r>
        <w:t xml:space="preserve">•        Predujam 157.500,00 eura</w:t>
      </w:r>
    </w:p>
    <w:p>
      <w:pPr>
        <w:jc w:val="both"/>
      </w:pPr>
      <w:r>
        <w:t xml:space="preserve">•        Korekcija po ZNS-ovima 14.208,06 eura</w:t>
      </w:r>
    </w:p>
    <w:p>
      <w:pPr>
        <w:jc w:val="both"/>
      </w:pPr>
      <w:r>
        <w:t xml:space="preserve">•        U 2024. i 2025.g podneseno ukupno 7 ZNS-ova. U 2025.g. odobreno je 5 ZNS-ova u ukupnoj vrijednosti 722.124,59 eura, a isplaćena četiri ZNS-a, u ukupnoj vrijednosti 560.060,24 eura. Zadnji ZNS odobren u iznosu 162.064,35 eura, isplata se očekuje početkom 2026.g. </w:t>
      </w:r>
    </w:p>
    <w:p>
      <w:pPr>
        <w:jc w:val="both"/>
      </w:pPr>
      <w:r>
        <w:t xml:space="preserve">•        U 2026. godini uplaćen ZNS br. 7  i ZNS br. 8 u iznosu 332.845,80 eura, te podnesen ZNS br. 9 na iznos 175.140,00 eura. </w:t>
      </w:r>
    </w:p>
    <w:p>
      <w:pPr>
        <w:jc w:val="both"/>
      </w:pPr>
      <w:r>
        <w:t xml:space="preserve"> </w:t>
      </w:r>
    </w:p>
    <w:p>
      <w:pPr>
        <w:jc w:val="both"/>
      </w:pPr>
      <w:r>
        <w:rPr>
          <w:b/>
          <w:i/>
        </w:rPr>
        <w:t xml:space="preserve">563 - Eurospki fond za regionalni razv</w:t>
      </w:r>
      <w:r>
        <w:t xml:space="preserve">oj</w:t>
      </w:r>
    </w:p>
    <w:p>
      <w:pPr>
        <w:jc w:val="both"/>
      </w:pPr>
      <w:r>
        <w:rPr>
          <w:i/>
        </w:rPr>
        <w:t xml:space="preserve">1.     Ugovor o dodjeli bespovratnih sredstava za projekte koji se financiraju iz programa "Konkurentnost i kohezija" u financijskom razdoblju 2021 - 2027.g. PK.6.1.01.0122 - Izgradnja D.V. u Karakašici</w:t>
      </w:r>
    </w:p>
    <w:p>
      <w:pPr>
        <w:jc w:val="both"/>
      </w:pPr>
      <w:r>
        <w:t xml:space="preserve">•        Ukupna vrijednost projekta i prihvatljivi troškova 1.732.770,49 eura.</w:t>
      </w:r>
    </w:p>
    <w:p>
      <w:pPr>
        <w:jc w:val="both"/>
      </w:pPr>
      <w:r>
        <w:t xml:space="preserve">•        Predujam nije zatražen, ZNS-ovi nisu podneseni.</w:t>
      </w:r>
    </w:p>
    <w:p>
      <w:pPr>
        <w:jc w:val="both"/>
      </w:pPr>
      <w:r>
        <w:t xml:space="preserve"> </w:t>
      </w:r>
    </w:p>
    <w:p>
      <w:pPr>
        <w:jc w:val="both"/>
      </w:pPr>
      <w:r>
        <w:t xml:space="preserve">2. </w:t>
      </w:r>
      <w:r>
        <w:rPr>
          <w:i/>
        </w:rPr>
        <w:t xml:space="preserve">Ugovor o dodjeli bespovratnih sredstava za projekte koji se financiraju iz (integriranog teritorijalnog programa) u financijskom razdoblju 2021. - 2027.g. IP.3.1.08.0004 - Inovacijski centar za digitalnu poljoprivredu </w:t>
      </w:r>
    </w:p>
    <w:p>
      <w:pPr>
        <w:jc w:val="both"/>
      </w:pPr>
      <w:r>
        <w:t xml:space="preserve">•        Ukupna vrijednost projekta i prihvatljivih troškova 3.293.625,81 eura.</w:t>
      </w:r>
    </w:p>
    <w:p>
      <w:pPr>
        <w:jc w:val="both"/>
      </w:pPr>
      <w:r>
        <w:t xml:space="preserve">•        Predujam nije zatražen.</w:t>
      </w:r>
    </w:p>
    <w:p>
      <w:pPr>
        <w:jc w:val="both"/>
      </w:pPr>
      <w:r>
        <w:t xml:space="preserve">•       U 2026. godini odobren ZNS br. 1 u iznosu 80.750,00 eura. Na račun Grada Sinja uplaćeno je 33.098,02 eura bespovratnih sredstava (40%), a preostali 47.651,98 eura odnosi se na sredstva vlastitog učešća (60%).</w:t>
      </w:r>
    </w:p>
    <w:p>
      <w:pPr>
        <w:jc w:val="both"/>
      </w:pPr>
      <w:r>
        <w:t xml:space="preserve">•                  U ovom izvještajnom razdoblju podnesen je i ZNS br. 2 na iznos od 0,00 eura, s obzirom da nije bilo poduzetih aktivnosti, ali proveden je postupak javne nabave za radove.</w:t>
      </w:r>
    </w:p>
    <w:p>
      <w:pPr>
        <w:jc w:val="both"/>
      </w:pPr>
      <w:r>
        <w:t xml:space="preserve"> </w:t>
      </w:r>
    </w:p>
    <w:p>
      <w:pPr>
        <w:jc w:val="both"/>
      </w:pPr>
      <w:r>
        <w:rPr>
          <w:i/>
        </w:rPr>
        <w:t xml:space="preserve">3. Ugovor o dodjeli bespovratnih sredstava za projekte koji se financiraju iz (integriranog teritorijalnog programa) u financijskom razdoblju 2021. - 2027.g. IP.3.1.08.0001 - Revitalizacija brownfield objekta u Glavicama</w:t>
      </w:r>
    </w:p>
    <w:p>
      <w:pPr>
        <w:jc w:val="both"/>
      </w:pPr>
      <w:r>
        <w:t xml:space="preserve">•        Ukupna vrijednost projekta i prihvatljivih troškova 1.130.000,00 eura</w:t>
      </w:r>
    </w:p>
    <w:p>
      <w:pPr>
        <w:jc w:val="both"/>
      </w:pPr>
      <w:r>
        <w:t xml:space="preserve">•        Uplaćen predujam u iznosu 288.150,00 eura.</w:t>
      </w:r>
    </w:p>
    <w:p>
      <w:pPr>
        <w:jc w:val="both"/>
      </w:pPr>
      <w:r>
        <w:t xml:space="preserve">•        U 2026. godini podnesen ZNS br. 1 u iznosu 375.039,23 eura. Radi postupka obrade Zahtjeva za produljenje roka od strane SAFU, u dogovoru s ugovorenim tijelom u izvještajnom razdoblju predan ZNS br. 2 u iznosu od 0,00 eura.</w:t>
      </w:r>
    </w:p>
    <w:p>
      <w:pPr>
        <w:jc w:val="both"/>
      </w:pPr>
      <w:r>
        <w:t xml:space="preserve"> </w:t>
      </w:r>
    </w:p>
    <w:p>
      <w:pPr>
        <w:jc w:val="both"/>
      </w:pPr>
      <w:r>
        <w:t xml:space="preserve"> </w:t>
      </w:r>
    </w:p>
    <w:p>
      <w:pPr>
        <w:jc w:val="both"/>
      </w:pPr>
      <w:r>
        <w:t xml:space="preserve"> </w:t>
      </w:r>
      <w:r>
        <w:br/>
      </w:r>
      <w:r>
        <w:t xml:space="preserve"> </w:t>
      </w:r>
      <w:r>
        <w:br/>
      </w:r>
      <w:r>
        <w:t xml:space="preserve"> </w:t>
      </w:r>
    </w:p>
    <w:p>
      <w:pPr>
        <w:jc w:val="both"/>
      </w:pPr>
      <w:r>
        <w:t xml:space="preserve"> </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126e2bf9bab34479" /></Relationships>
</file>